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231B5E">
        <w:rPr>
          <w:rFonts w:eastAsia="Calibri"/>
          <w:szCs w:val="28"/>
          <w:lang w:eastAsia="en-US"/>
        </w:rPr>
        <w:t>28</w:t>
      </w:r>
      <w:r w:rsidRPr="00A3480C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proofErr w:type="gramStart"/>
      <w:r w:rsidRPr="0057720D">
        <w:rPr>
          <w:rFonts w:eastAsia="Calibri"/>
          <w:szCs w:val="28"/>
          <w:lang w:eastAsia="en-US"/>
        </w:rPr>
        <w:t xml:space="preserve">По </w:t>
      </w:r>
      <w:r w:rsidR="00231B5E" w:rsidRPr="008113E6">
        <w:rPr>
          <w:szCs w:val="28"/>
        </w:rPr>
        <w:t xml:space="preserve">проекту </w:t>
      </w:r>
      <w:r w:rsidR="00FF7A15">
        <w:rPr>
          <w:sz w:val="27"/>
          <w:szCs w:val="27"/>
        </w:rPr>
        <w:t xml:space="preserve">внесения изменений в документацию по планировке территории «Проект межевания территории населенного пункта поселок Нижний </w:t>
      </w:r>
      <w:proofErr w:type="spellStart"/>
      <w:r w:rsidR="00FF7A15">
        <w:rPr>
          <w:sz w:val="27"/>
          <w:szCs w:val="27"/>
        </w:rPr>
        <w:t>Лух</w:t>
      </w:r>
      <w:proofErr w:type="spellEnd"/>
      <w:r w:rsidR="00FF7A15">
        <w:rPr>
          <w:sz w:val="27"/>
          <w:szCs w:val="27"/>
        </w:rPr>
        <w:t xml:space="preserve"> </w:t>
      </w:r>
      <w:proofErr w:type="spellStart"/>
      <w:r w:rsidR="00FF7A15">
        <w:rPr>
          <w:sz w:val="27"/>
          <w:szCs w:val="27"/>
        </w:rPr>
        <w:t>Висимского</w:t>
      </w:r>
      <w:proofErr w:type="spellEnd"/>
      <w:r w:rsidR="00FF7A15">
        <w:rPr>
          <w:sz w:val="27"/>
          <w:szCs w:val="27"/>
        </w:rPr>
        <w:t xml:space="preserve"> сельского поселения </w:t>
      </w:r>
      <w:proofErr w:type="spellStart"/>
      <w:r w:rsidR="00FF7A15">
        <w:rPr>
          <w:sz w:val="27"/>
          <w:szCs w:val="27"/>
        </w:rPr>
        <w:t>Добрянского</w:t>
      </w:r>
      <w:proofErr w:type="spellEnd"/>
      <w:r w:rsidR="00FF7A15">
        <w:rPr>
          <w:sz w:val="27"/>
          <w:szCs w:val="27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FF7A15">
        <w:rPr>
          <w:sz w:val="27"/>
          <w:szCs w:val="27"/>
        </w:rPr>
        <w:t>Добрянского</w:t>
      </w:r>
      <w:proofErr w:type="spellEnd"/>
      <w:r w:rsidR="00FF7A15">
        <w:rPr>
          <w:sz w:val="27"/>
          <w:szCs w:val="27"/>
        </w:rPr>
        <w:t xml:space="preserve"> муниципального района Пермского края от 17 июля 2019 г. № 943</w:t>
      </w:r>
      <w:r w:rsidR="00FF7A15" w:rsidRPr="00FE5660">
        <w:rPr>
          <w:szCs w:val="28"/>
        </w:rPr>
        <w:t xml:space="preserve">, </w:t>
      </w:r>
      <w:r w:rsidR="00FF7A15">
        <w:rPr>
          <w:szCs w:val="28"/>
        </w:rPr>
        <w:t xml:space="preserve">с целью приведения в соответствие с генеральным планом и правилами землепользования и застройки </w:t>
      </w:r>
      <w:proofErr w:type="spellStart"/>
      <w:r w:rsidR="00FF7A15">
        <w:rPr>
          <w:szCs w:val="28"/>
        </w:rPr>
        <w:t>Добрянского</w:t>
      </w:r>
      <w:proofErr w:type="spellEnd"/>
      <w:r w:rsidR="00FF7A15">
        <w:rPr>
          <w:szCs w:val="28"/>
        </w:rPr>
        <w:t xml:space="preserve"> городского округа Пермского края </w:t>
      </w:r>
      <w:r w:rsidR="00FF7A15" w:rsidRPr="00BC0886">
        <w:rPr>
          <w:szCs w:val="28"/>
        </w:rPr>
        <w:t>(далее – Проект)</w:t>
      </w:r>
      <w:r w:rsidRPr="0057720D">
        <w:rPr>
          <w:rFonts w:eastAsia="Calibri"/>
          <w:szCs w:val="28"/>
          <w:lang w:eastAsia="en-US"/>
        </w:rPr>
        <w:t>.</w:t>
      </w:r>
      <w:proofErr w:type="gramEnd"/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роекта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приняло участие</w:t>
      </w:r>
      <w:r w:rsidR="00231B5E">
        <w:rPr>
          <w:rFonts w:eastAsia="Calibri"/>
          <w:szCs w:val="28"/>
          <w:lang w:eastAsia="en-US"/>
        </w:rPr>
        <w:t xml:space="preserve"> - </w:t>
      </w:r>
      <w:r w:rsidR="00231B5E">
        <w:rPr>
          <w:rFonts w:eastAsia="Calibri"/>
          <w:szCs w:val="28"/>
          <w:lang w:eastAsia="en-US"/>
        </w:rPr>
        <w:br/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491EFD">
        <w:rPr>
          <w:rFonts w:eastAsia="Calibri"/>
          <w:szCs w:val="28"/>
          <w:lang w:eastAsia="en-US"/>
        </w:rPr>
        <w:t>2</w:t>
      </w:r>
      <w:r w:rsidR="00181A18">
        <w:rPr>
          <w:rFonts w:eastAsia="Calibri"/>
          <w:szCs w:val="28"/>
          <w:lang w:eastAsia="en-US"/>
        </w:rPr>
        <w:t>6</w:t>
      </w:r>
      <w:r w:rsidRPr="0057720D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231B5E">
        <w:rPr>
          <w:rFonts w:eastAsia="Calibri"/>
          <w:szCs w:val="28"/>
          <w:lang w:eastAsia="en-US"/>
        </w:rPr>
        <w:t>28</w:t>
      </w:r>
      <w:r w:rsidRPr="0057720D">
        <w:rPr>
          <w:rFonts w:eastAsia="Calibri"/>
          <w:szCs w:val="28"/>
          <w:lang w:eastAsia="en-US"/>
        </w:rPr>
        <w:t>"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31B5E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CB0DEE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Председатель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A3EAA"/>
    <w:rsid w:val="000E33E9"/>
    <w:rsid w:val="00101751"/>
    <w:rsid w:val="00147732"/>
    <w:rsid w:val="0016737F"/>
    <w:rsid w:val="00181A18"/>
    <w:rsid w:val="00231B5E"/>
    <w:rsid w:val="0029564D"/>
    <w:rsid w:val="002A39E2"/>
    <w:rsid w:val="00305E78"/>
    <w:rsid w:val="00324D45"/>
    <w:rsid w:val="00362422"/>
    <w:rsid w:val="003A3A4B"/>
    <w:rsid w:val="00460DF0"/>
    <w:rsid w:val="00462074"/>
    <w:rsid w:val="00491EFD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55E9F"/>
    <w:rsid w:val="00765103"/>
    <w:rsid w:val="00864A96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55</cp:revision>
  <cp:lastPrinted>2020-12-30T11:08:00Z</cp:lastPrinted>
  <dcterms:created xsi:type="dcterms:W3CDTF">2020-11-20T05:29:00Z</dcterms:created>
  <dcterms:modified xsi:type="dcterms:W3CDTF">2022-07-29T04:26:00Z</dcterms:modified>
</cp:coreProperties>
</file>